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NW_27209 (Nordrhein-Westfalen)</w:t>
      </w:r>
    </w:p>
    <w:p>
      <w:r>
        <w:rPr>
          <w:color w:val="555555"/>
          <w:sz w:val="18"/>
        </w:rPr>
        <w:t xml:space="preserve">Gesetz zur Neugliederung des Ennepe-Ruhr-Kreises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Breckerfeld wird dem Amtsgericht Hagen, die Gemeinden Hattingen und Sprockhövel werden dem Amtsgericht Hattingen, die Gemeinde Wetter wird dem Amtsgericht Wetter und der Bezirk Essen-Altendorf (Ruhr) der Stadt Essen wird dem Amtsgericht Essen-Steele zugeordnet.</w:t>
      </w:r>
    </w:p>
    <w:p>
      <w:r>
        <w:rPr>
          <w:color w:val="555555"/>
          <w:sz w:val="17"/>
        </w:rPr>
        <w:t xml:space="preserve">Zitiervorschlag: § 20 NW_27209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https://recht.nulegal.eu/gesetze/NW_27209/20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