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NW_27209 (Nordrhein-Westfalen)</w:t>
      </w:r>
    </w:p>
    <w:p>
      <w:r>
        <w:rPr>
          <w:color w:val="555555"/>
          <w:sz w:val="18"/>
        </w:rPr>
        <w:t xml:space="preserve">Gesetz zur Neugliederung des Ennepe-Ruhr-Kreises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Waldbauer (Amt Breckerfeld) - mit Ausnahme der in § 7 Abs. 2 Nr. 1 genannten Flurstücke - wird in die Stadt Hagen eingegliedert.</w:t>
      </w:r>
    </w:p>
    <w:p>
      <w:r>
        <w:t xml:space="preserve">(2) In die Stadt Hagen werden weiter eingegliedert:</w:t>
      </w:r>
    </w:p>
    <w:p>
      <w:r>
        <w:t xml:space="preserve">1. aus der Stadt Ennepetal die Flurstücke</w:t>
      </w:r>
    </w:p>
    <w:p>
      <w:r>
        <w:t xml:space="preserve">Gemarkung Ennepetal</w:t>
      </w:r>
    </w:p>
    <w:p>
      <w:r>
        <w:t xml:space="preserve">Flur 67 Nr. 29,</w:t>
      </w:r>
    </w:p>
    <w:p>
      <w:r>
        <w:t xml:space="preserve">Flur 68 Nr. 4 bis 19, 25, 26, 28, 29, 31 bis 35, 37 bis 48, 50 bis 56, 63 bis 67, 70, 71,</w:t>
      </w:r>
    </w:p>
    <w:p>
      <w:r>
        <w:t xml:space="preserve">2. aus der Gemeinde Dahl (Amt Breckerfeld) die Flurstücke</w:t>
      </w:r>
    </w:p>
    <w:p>
      <w:r>
        <w:t xml:space="preserve">Gemarkung Dahl</w:t>
      </w:r>
    </w:p>
    <w:p>
      <w:r>
        <w:t xml:space="preserve">Flur 5 Nr. 1 bis 6, 9, 12, 39, 43, 44, 51, 53, 54, 101 bis 111, 115 bis 118, 120, 121, 151, 153, 154, 157, 158, 169, 170, 172, 200, 202, 204.</w:t>
      </w:r>
    </w:p>
    <w:p>
      <w:r>
        <w:rPr>
          <w:color w:val="555555"/>
          <w:sz w:val="17"/>
        </w:rPr>
        <w:t xml:space="preserve">Zitiervorschlag: § 11 NW_27209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https://recht.nulegal.eu/gesetze/NW_27209/11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