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Hattingen, die Stadt Blankenstein (Amt Blankenstein) - mit Ausnahme der in § 2 genannten Flurstücke - und die Gemeinden Bredenscheid-Stüter - mit Ausnahme der in § 4 Abs. 2 Nr. 1 genannten Flurstücke -, Niederelfringhausen - mit Ausnahme der in § 9 Nr. 2 genannten Flurstücke -, Oberelfringhausen, Oberstüter und Winz - letztere ohne die in § 9 Nr. 1 genannten Flurstücke - (Amt Hattingen) werden zu einer neuen amtsfreien Gemeinde zusammengeschlossen. Die neue Gemeinde erhält den Namen Hattingen und führt die Bezeichnung ,,Stadt".</w:t>
      </w:r>
    </w:p>
    <w:p>
      <w:r>
        <w:t xml:space="preserve">(2) Die Ämter Blankenstein und Hattingen werden aufgelöst. Rechtsnachfolgerin ist die Stadt Hattingen.</w:t>
      </w:r>
    </w:p>
    <w:p>
      <w:r>
        <w:rPr>
          <w:color w:val="555555"/>
          <w:sz w:val="17"/>
        </w:rPr>
        <w:t xml:space="preserve">Zitiervorschlag: § 1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