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NW_27207 (Nordrhein-Westfalen)</w:t>
      </w:r>
    </w:p>
    <w:p>
      <w:r>
        <w:rPr>
          <w:color w:val="555555"/>
          <w:sz w:val="18"/>
        </w:rPr>
        <w:t xml:space="preserve">Gesetz zur Neugliederung des Kreises Höxter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Brakel und Bad Driburg werden dem Amtsgericht Brakel, die Gemeinden Beverungen, Höxter und Marienmünster werden dem Amtsgericht Höxter, die Gemeinden Nieheim und Steinheim werden dem Amtsgericht Steinheim zugeordnet.</w:t>
      </w:r>
    </w:p>
    <w:p>
      <w:r>
        <w:rPr>
          <w:color w:val="555555"/>
          <w:sz w:val="17"/>
        </w:rPr>
        <w:t xml:space="preserve">Zitiervorschlag: § 9 NW_27207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https://recht.nulegal.eu/gesetze/NW_27207/9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