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NW_27207 (Nordrhein-Westfalen)</w:t>
      </w:r>
    </w:p>
    <w:p>
      <w:r>
        <w:rPr>
          <w:color w:val="555555"/>
          <w:sz w:val="18"/>
        </w:rPr>
        <w:t xml:space="preserve">Gesetz zur Neugliederung des Kreises Höxter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Albaxen, Bödexen, Bosseborn, Brenkhausen, Fürstenau, Godelheim, Lüchtringen, Lütmarsen, Ottbergen, Ovenhausen und Stahle (Amt Höxter-Land) sowie die Gemeinde Bruchhausen (Amt Beverungen) und die Stadt Höxter werden zu einer neuen amtsfreien Gemeinde zusammengeschlossen. Die Gemeinde erhält den Namen Höxter und führt die Bezeichnung ,,Stadt".</w:t>
      </w:r>
    </w:p>
    <w:p>
      <w:r>
        <w:t xml:space="preserve">(2) Das Amt Höxter-Land wird aufgelöst. Rechtsnachfolgerin ist die Stadt Höxter.</w:t>
      </w:r>
    </w:p>
    <w:p>
      <w:r>
        <w:rPr>
          <w:color w:val="555555"/>
          <w:sz w:val="17"/>
        </w:rPr>
        <w:t xml:space="preserve">Zitiervorschlag: § 1 NW_27207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