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NW_27206 (Nordrhein-Westfalen)</w:t>
      </w:r>
    </w:p>
    <w:p>
      <w:r>
        <w:rPr>
          <w:color w:val="555555"/>
          <w:sz w:val="18"/>
        </w:rPr>
        <w:t xml:space="preserve">Gesetz zur Neugliederung des Kreises Detmold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Stadt Detmold, die zum Amt Detmold-Land gehörenden Gemeinden Barkhausen, Brokhausen, Dehlentrup, Hakedahl, Jerxen-Orbke, Leistrup-Meiersfeld, Mosebeck, Niederschönhagen, Oberschönhagen - mit Ausnahme der in § 5 Abs. 2 Nr. 1 genannten Flurstücke -, Oettern-Bremke, Remmighausen, Schönemark - mit Ausnahme der in § 5 Abs. 2 Nr. 2 genannten Flurstücke -, Spork-Eichholz, Vahlhausen bei Detmold, die Gemeinden Bentrup - mit Ausnahme der in § 8 Nr. 2 genannten Flurstücke -, Berlebeck, Heidenoldendorf, Heiligenkirchen, Hiddesen, Hornoldendorf, Nienhagen, Niewald, Pivitsheide V. H., Pivitsheide V. L. - mit Ausnahme der in § 9 Nr. 2 genannten Flurstücke - sowie die Gemeinde Loßbruch (Kreis Lemgo) werden zu einer neuen amtsfreien Gemeinde zusammengeschlossen, die in den Kreis Detmold eingegliedert wird. Die Gemeinde erhält den Namen Detmold und führt die Bezeichnung ,,Stadt".</w:t>
      </w:r>
    </w:p>
    <w:p>
      <w:r>
        <w:t xml:space="preserve">(2) In die neue Gemeinde werden aus der Gemeinde Cappel folgende Flurstücke eingegliedert:</w:t>
      </w:r>
    </w:p>
    <w:p>
      <w:r>
        <w:t xml:space="preserve">Gemarkung Cappel</w:t>
      </w:r>
    </w:p>
    <w:p>
      <w:r>
        <w:t xml:space="preserve">Flur 1 Nr. 1 bis 23, 27 bis 30, 33 bis 42, 48 bis 52, 54, 57, 58, 60 bis 74, 75/halb, 77 bis 86, 87/halb, 88, 89 und 90.</w:t>
      </w:r>
    </w:p>
    <w:p>
      <w:r>
        <w:t xml:space="preserve">(3) Das Amt Detmold-Land wird aufgelöst. Rechtsnachfolgerin ist die Stadt Detmold.</w:t>
      </w:r>
    </w:p>
    <w:p>
      <w:r>
        <w:rPr>
          <w:color w:val="555555"/>
          <w:sz w:val="17"/>
        </w:rPr>
        <w:t xml:space="preserve">Zitiervorschlag: § 2 NW_27206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https://recht.nulegal.eu/gesetze/NW_27206/2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