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NW_27201 (Nordrhein-Westfalen)</w:t>
      </w:r>
    </w:p>
    <w:p>
      <w:r>
        <w:rPr>
          <w:color w:val="555555"/>
          <w:sz w:val="18"/>
        </w:rPr>
        <w:t xml:space="preserve">Gesetz zur Neugliederung von Gemeinden des Landkreises Halle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Gebietsänderungsvertrag zwischen den Gemeinden Barnhausen, Berghausen, Stadt Borgholzhausen, Casum, Cleve, Hamlingdorf, Holtfeld, Kleekamp, Oldendorf, Ostbarthausen, Westbarthausen, Wichlinghausen und dem Amt Borgholzhausen vom 21. Januar 1969 wird mit folgenden Maßgaben bestätigt: [Anlage 1]</w:t>
      </w:r>
    </w:p>
    <w:p>
      <w:r>
        <w:t xml:space="preserve">1. § 2 Abs. 2 findet keine Anwendung,</w:t>
      </w:r>
    </w:p>
    <w:p>
      <w:r>
        <w:t xml:space="preserve">2. in § 4 Abs. 3 entfallen die Worte ,,und die Ausübung bestehender Vorkaufsrechte".</w:t>
      </w:r>
    </w:p>
    <w:p>
      <w:r>
        <w:t xml:space="preserve">(2) Die Gebietsänderungsverträge zwischen den Gemeinden</w:t>
      </w:r>
    </w:p>
    <w:p>
      <w:r>
        <w:t xml:space="preserve">Ascheloh, Eggeberg, Gartnisch und der Stadt Halle [Anlage 2, 2 a, 2 b]</w:t>
      </w:r>
    </w:p>
    <w:p>
      <w:r>
        <w:t xml:space="preserve">vom 6. Februar 1969 werden mit der Maßgabe bestätigt, daß</w:t>
      </w:r>
    </w:p>
    <w:p>
      <w:r>
        <w:t xml:space="preserve">1. Bauleitpläne nur übergeleitet werden, soweit es sich um rechtsverbindlich festgesetzte Bebauungspläne handelt,</w:t>
      </w:r>
    </w:p>
    <w:p>
      <w:r>
        <w:t xml:space="preserve">2. die in der Aufstellung befindlichen Bebauungspläne der Gemeinde Gartnisch nur weitergeführt werden, wenn sie mit dem neuen Flächennutzungsplan der Stadt Halle im Einklang stehen und</w:t>
      </w:r>
    </w:p>
    <w:p>
      <w:r>
        <w:t xml:space="preserve">3. die Stadt Halle nur insoweit verpflichtet ist, 15% ihres Haushaltsansatzes für Wegebaumaßnahmen zu Wegebauzwecken im Gebiet der Gemeinde Gartnisch zu verwenden, als dies mit einer sinnvollen Planung für den Gesamtraum zu vereinbaren ist.</w:t>
      </w:r>
    </w:p>
    <w:p>
      <w:r>
        <w:rPr>
          <w:color w:val="555555"/>
          <w:sz w:val="17"/>
        </w:rPr>
        <w:t xml:space="preserve">Zitiervorschlag: § 3 NW_27201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https://recht.nulegal.eu/gesetze/NW_27201/3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