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NW_27200 (Nordrhein-Westfalen)</w:t>
      </w:r>
    </w:p>
    <w:p>
      <w:r>
        <w:rPr>
          <w:color w:val="555555"/>
          <w:sz w:val="18"/>
        </w:rPr>
        <w:t xml:space="preserve">Gesetz zur Neugliederung von Gemeinden des Selfkantkreises Geilenkirchen-Heinsberg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Schafhausen und Unterbruch (Amt Heinsberg-Land), letztere jedoch ohne die in § 4 genannten Flurstücke, und die Gemeinde Aphoven (Amt Waldenrath) werden in die Stadt Heinsberg (Rhld.) eingegliedert.</w:t>
      </w:r>
    </w:p>
    <w:p>
      <w:r>
        <w:t xml:space="preserve">(2) Die Ämter Heinsberg-Land und Waldenrath werden aufgelöst. Rechtsnachfolgerin ist die Stadt Heinsberg (Rhld.).</w:t>
      </w:r>
    </w:p>
    <w:p>
      <w:r>
        <w:rPr>
          <w:color w:val="555555"/>
          <w:sz w:val="17"/>
        </w:rPr>
        <w:t xml:space="preserve">Zitiervorschlag: § 3 NW_27200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