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NW_27199 (Nordrhein-Westfalen)</w:t>
      </w:r>
    </w:p>
    <w:p>
      <w:r>
        <w:rPr>
          <w:color w:val="555555"/>
          <w:sz w:val="18"/>
        </w:rPr>
        <w:t xml:space="preserve">Gesetz zur Neugliederung von Gemeinden des Landkreises Schleiden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Heimbach und die Gemeinden Hergarten und Vlatten (Amt Hergarten) werden zu einer neuen Gemeinde zusammengeschlossen. Die Gemeinde erhält den Namen Heimbach und führt die Bezeichnung ,,Stadt".</w:t>
      </w:r>
    </w:p>
    <w:p>
      <w:r>
        <w:t xml:space="preserve">(2) Das Amt Hergarten wird aufgelöst. Rechtsnachfolgerin des Amtes Hergarten ist die Stadt Heimbach.</w:t>
      </w:r>
    </w:p>
    <w:p>
      <w:r>
        <w:rPr>
          <w:color w:val="555555"/>
          <w:sz w:val="17"/>
        </w:rPr>
        <w:t xml:space="preserve">Zitiervorschlag: § 6 NW_27199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