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NW_27199 (Nordrhein-Westfalen)</w:t>
      </w:r>
    </w:p>
    <w:p>
      <w:r>
        <w:rPr>
          <w:color w:val="555555"/>
          <w:sz w:val="18"/>
        </w:rPr>
        <w:t xml:space="preserve">Gesetz zur Neugliederung von Gemeinden des Landkreises Schleiden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Heimbach, Hellenthal, Mechernich und Kall werden dem Amtsgericht Gemünd, die Gemeinden Blankenheim, Dahlem und Nettersheim dem Amtsgericht Blankenheim zugeordnet.</w:t>
      </w:r>
    </w:p>
    <w:p>
      <w:r>
        <w:rPr>
          <w:color w:val="555555"/>
          <w:sz w:val="17"/>
        </w:rPr>
        <w:t xml:space="preserve">Zitiervorschlag: § 11 NW_27199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