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NW_27198 (Nordrhein-Westfalen)</w:t>
      </w:r>
    </w:p>
    <w:p>
      <w:r>
        <w:rPr>
          <w:color w:val="555555"/>
          <w:sz w:val="18"/>
        </w:rPr>
        <w:t xml:space="preserve">Gesetz zur Neugliederung von Gemeinden des Landkreises Jülich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Boslar, Ederen, Gereonsweiler, Gevenich, Glimbach, Hottorf, Körrenzig, Rurdorf, Tetz und Welz (Amt Linnich) werden in die Stadt Linnich (Amt Linnich) eingegliedert.</w:t>
      </w:r>
    </w:p>
    <w:p>
      <w:r>
        <w:t xml:space="preserve">(2) Das Amt Linnich wird aufgelöst. Rechtsnachfolgerin ist die Stadt Linnich.</w:t>
      </w:r>
    </w:p>
    <w:p>
      <w:r>
        <w:rPr>
          <w:color w:val="555555"/>
          <w:sz w:val="17"/>
        </w:rPr>
        <w:t xml:space="preserve">Zitiervorschlag: § 1 NW_27198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https://recht.nulegal.eu/gesetze/NW_27198/1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