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NW_27194 (Nordrhein-Westfalen)</w:t>
      </w:r>
    </w:p>
    <w:p>
      <w:r>
        <w:rPr>
          <w:color w:val="555555"/>
          <w:sz w:val="18"/>
        </w:rPr>
        <w:t xml:space="preserve">Gesetz zur Neugliederung von Gemeinden des Landkreises Lüdinghausen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Rat der Stadt Lüdinghausen wird aufgelöst. § 29 Abs. 2 der Gemeindeordnung gilt entsprechend.</w:t>
      </w:r>
    </w:p>
    <w:p>
      <w:r>
        <w:rPr>
          <w:color w:val="555555"/>
          <w:sz w:val="17"/>
        </w:rPr>
        <w:t xml:space="preserve">Zitiervorschlag: § 5 NW_27194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