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NW_27192 (Nordrhein-Westfalen)</w:t>
      </w:r>
    </w:p>
    <w:p>
      <w:r>
        <w:rPr>
          <w:color w:val="555555"/>
          <w:sz w:val="18"/>
        </w:rPr>
        <w:t xml:space="preserve">Gesetz zur Neugliederung von Gemeinden des Landkreises Borken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Stadt Borken und die Gemeinden Stadt Gemen, Kirchspiel Gemen, Weseke (Amt Gemen-Weseke), Borkenwirthe, Grütlohn, Hoxfeld, Marbeck, Rhedebrügge und Westenborken (Amt Marbeck-Raesfeld), werden zu einer neuen Gemeinde zusammengeschlossen. Die Gemeinde erhält den Namen Borken und führt die Bezeichnung ,,Stadt".</w:t>
      </w:r>
    </w:p>
    <w:p>
      <w:r>
        <w:t xml:space="preserve">(2) Die Ämter Gemen-Weseke und Marbeck-Raesfeld werden aufgelöst. Rechtsnachfolgerin ist die Stadt Borken.</w:t>
      </w:r>
    </w:p>
    <w:p>
      <w:r>
        <w:rPr>
          <w:color w:val="555555"/>
          <w:sz w:val="17"/>
        </w:rPr>
        <w:t xml:space="preserve">Zitiervorschlag: § 2 NW_27192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https://recht.nulegal.eu/gesetze/NW_27192/2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