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NW_27190 (Nordrhein-Westfalen)</w:t>
      </w:r>
    </w:p>
    <w:p>
      <w:r>
        <w:rPr>
          <w:color w:val="555555"/>
          <w:sz w:val="18"/>
        </w:rPr>
        <w:t xml:space="preserve">Gesetz zur Neugliederung von Gemeinden des Landkreises Ahaus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Gemeinde Kirchspiel Stadtlohn (Amt Stadtlohn) wird in die Stadt Stadtlohn eingegliedert.</w:t>
      </w:r>
    </w:p>
    <w:p>
      <w:r>
        <w:t xml:space="preserve">(2) Das Amt Stadtlohn wird aufgelöst. Rechtsnachfolgerin ist die Stadt Stadtlohn.</w:t>
      </w:r>
    </w:p>
    <w:p>
      <w:r>
        <w:rPr>
          <w:color w:val="555555"/>
          <w:sz w:val="17"/>
        </w:rPr>
        <w:t xml:space="preserve">Zitiervorschlag: § 5 NW_27190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https://recht.nulegal.eu/gesetze/NW_27190/5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