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NW_27189 (Nordrhein-Westfalen)</w:t>
      </w:r>
    </w:p>
    <w:p>
      <w:r>
        <w:rPr>
          <w:color w:val="555555"/>
          <w:sz w:val="18"/>
        </w:rPr>
        <w:t xml:space="preserve">Gesetz zur Neugliederung des Landkreises Soest und von Teilen des Landkreises Beckum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Berlingsen, Brüllingsen, Büecke, Delecke (Möhnesee), Echtrop, Ellingsen, Günne (Möhnesee), Hewingsen, Körbecke (Möhnesee), Stockum (Möhnesee), Theiningsen, Völlinghausen (Möhnesee), Wamel (Möhnesee), Westrich und Wippringsen (Amt Körbecke) werden zu einer neuen amtsfreien Gemeinde zusammengeschlossen. Die Gemeinde erhält den Namen Möhnesee.</w:t>
      </w:r>
    </w:p>
    <w:p>
      <w:r>
        <w:t xml:space="preserve">(2) Das Amt Körbecke wird aufgelöst. Rechtsnachfolgerin ist die Gemeinde Möhnesee.</w:t>
      </w:r>
    </w:p>
    <w:p>
      <w:r>
        <w:rPr>
          <w:color w:val="555555"/>
          <w:sz w:val="17"/>
        </w:rPr>
        <w:t xml:space="preserve">Zitiervorschlag: § 1 NW_27189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