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NW_27188 (Nordrhein-Westfalen)</w:t>
      </w:r>
    </w:p>
    <w:p>
      <w:r>
        <w:rPr>
          <w:color w:val="555555"/>
          <w:sz w:val="18"/>
        </w:rPr>
        <w:t xml:space="preserve">Gesetz zur Neugliederung des Landkreises Olpe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am 27. September 1964 gewählten Kreistage der Landkreise Meschede und Olpe werden aufgelöst. § 21 Abs. 2 der Landkreisordnung gilt entsprechend.</w:t>
      </w:r>
    </w:p>
    <w:p>
      <w:r>
        <w:rPr>
          <w:color w:val="555555"/>
          <w:sz w:val="17"/>
        </w:rPr>
        <w:t xml:space="preserve">Zitiervorschlag: § 9 NW_27188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