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NW_27187 (Nordrhein-Westfalen)</w:t>
      </w:r>
    </w:p>
    <w:p>
      <w:r>
        <w:rPr>
          <w:color w:val="555555"/>
          <w:sz w:val="18"/>
        </w:rPr>
        <w:t xml:space="preserve">Gesetz zur Neugliederung von Gemeinden des Landkreises Brilon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Berge, Deifeld, Dreislar, Düdinghausen, Küstelberg, Stadt Medebach, Medelon, Oberschledorn, Referinghausen und Titmaringhausen (Amt Medebach) werden zu einer neuen amtsfreien Gemeinde zusammengeschlossen. Die Gemeinde erhält den Namen Medebach und führt die Bezeichnung ,,Stadt".</w:t>
      </w:r>
    </w:p>
    <w:p>
      <w:r>
        <w:t xml:space="preserve">(2) Das Amt Medebach wird aufgelöst. Rechtsnachfolgerin ist die Stadt Medebach.</w:t>
      </w:r>
    </w:p>
    <w:p>
      <w:r>
        <w:rPr>
          <w:color w:val="555555"/>
          <w:sz w:val="17"/>
        </w:rPr>
        <w:t xml:space="preserve">Zitiervorschlag: § 1 NW_27187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