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NW_27186 (Nordrhein-Westfalen)</w:t>
      </w:r>
    </w:p>
    <w:p>
      <w:r>
        <w:rPr>
          <w:color w:val="555555"/>
          <w:sz w:val="18"/>
        </w:rPr>
        <w:t xml:space="preserve">Gesetz zur Neugliederung des Landkreises Euskirchen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Euskirchen, Bad Münstereifel, Veytal, Weilerswist und Zülpich werden dem Amtsgericht Euskirchen, die Gemeinde Erftstadt wird dem Amtsgericht Lechenich zugeordnet.</w:t>
      </w:r>
    </w:p>
    <w:p>
      <w:r>
        <w:rPr>
          <w:color w:val="555555"/>
          <w:sz w:val="17"/>
        </w:rPr>
        <w:t xml:space="preserve">Zitiervorschlag: § 7 NW_27186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