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Bonn wird Gewährträger der Kreissparkasse Bonn. Diese überträgt die Zweigstellen, die sich im Rhein-Sieg-Kreis befinden, auf die Sparkasse des Rhein-Sieg-Kreises. Die Sparkasse des Rhein-Sieg-Kreises überträgt die Zweigstelle Oberkassel auf die Sparkasse der Stadt Bonn.</w:t>
      </w:r>
    </w:p>
    <w:p>
      <w:r>
        <w:t xml:space="preserve">(2) Der Rhein-Sieg-Kreis ist verpflichtet. die bisherigen Vorstandsmitglieder der Kreissparkasse Bonn mit ihrem Einverständnis auf Verlangen der Stadt Bonn als Vorstandsmitglieder der Sparkasse des Rhein-Sieg-Kreises zu übernehmen. Die Sparkassen der Stadt Bonn und des Rhein-Sieg-Kreises sind verpflichtet, die bei den zu übertragenden Zweigstellen tätigen Angestellten und Arbeiter zu übernehmen.</w:t>
      </w:r>
    </w:p>
    <w:p>
      <w:r>
        <w:t xml:space="preserve">(3) Die Stadt Bonn vereinigt die Sparkassen ihrer Gewährträgerschaft zu einer Sparkasse.</w:t>
      </w:r>
    </w:p>
    <w:p>
      <w:r>
        <w:t xml:space="preserve">(4) Die erforderlichen Beschlüsse sind so rechtzeitig zu lassen, daß die Maßnahmen nach Absatz 1, 2 und 3 spätestens am 1. Januar 1971 vollzogen sind.</w:t>
      </w:r>
    </w:p>
    <w:p>
      <w:r>
        <w:t xml:space="preserve">(5) Rechtsänderungen und Rechtshandlungen im Rahmen dieser Regelung sind frei von landesrechtlich geregelten Abgaben und Gebühren.</w:t>
      </w:r>
    </w:p>
    <w:p>
      <w:r>
        <w:rPr>
          <w:color w:val="555555"/>
          <w:sz w:val="17"/>
        </w:rPr>
        <w:t xml:space="preserve">Zitiervorschlag: § 23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