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NW_27178 (Nordrhein-Westfalen)</w:t>
      </w:r>
    </w:p>
    <w:p>
      <w:r>
        <w:rPr>
          <w:color w:val="555555"/>
          <w:sz w:val="18"/>
        </w:rPr>
        <w:t xml:space="preserve">Gesetz über den Zusammenschluß der Gemeinden Alfen, Kirchborchen und Nordborchen, Landkreis Paderborn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Gebietsänderungsvertrag zwischen den Gemeinden Alfen, Kirchborchen und Nordborchen vom 13. April 1967 wird mit folgenden Maßgaben bestätigt: [Anlage]</w:t>
      </w:r>
    </w:p>
    <w:p>
      <w:r>
        <w:t xml:space="preserve">1. Rechtsverbindlich aufgestellte Bebauungspläne gelten - abweichend von § 3 - vorbehaltlich anderweitiger Festsetzung durch den Rat der Gemeinde Borchen unbefristet weiter.</w:t>
      </w:r>
    </w:p>
    <w:p>
      <w:r>
        <w:t xml:space="preserve">2. § 5 findet keine Anwendung.</w:t>
      </w:r>
    </w:p>
    <w:p>
      <w:r>
        <w:rPr>
          <w:color w:val="555555"/>
          <w:sz w:val="17"/>
        </w:rPr>
        <w:t xml:space="preserve">Zitiervorschlag: § 2 NW_27178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