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NW_27175 (Nordrhein-Westfalen)</w:t>
      </w:r>
    </w:p>
    <w:p>
      <w:r>
        <w:rPr>
          <w:color w:val="555555"/>
          <w:sz w:val="18"/>
        </w:rPr>
        <w:t xml:space="preserve">Gesetz zur Neugliederung des Landkreises Altena und der kreisfreien Stadt Lüdenscheid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Dieses Gesetz tritt am 1. Januar 1969 in Kraft.</w:t>
      </w:r>
    </w:p>
    <w:p>
      <w:r>
        <w:t xml:space="preserve">(2) Abweichend von Absatz 1 tritt § 11 Abs. 1 bis 3 am Tage der Verkündung in Kraft.</w:t>
      </w:r>
    </w:p>
    <w:p>
      <w:r>
        <w:t xml:space="preserve">Die Landesregierung</w:t>
      </w:r>
    </w:p>
    <w:p>
      <w:r>
        <w:t xml:space="preserve">des Landes Nordrhein Westfalen</w:t>
      </w:r>
    </w:p>
    <w:p>
      <w:r>
        <w:rPr>
          <w:color w:val="555555"/>
          <w:sz w:val="17"/>
        </w:rPr>
        <w:t xml:space="preserve">Zitiervorschlag: § 16 NW_27175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https://recht.nulegal.eu/gesetze/NW_27175/16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