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NW_27175 (Nordrhein-Westfalen)</w:t>
      </w:r>
    </w:p>
    <w:p>
      <w:r>
        <w:rPr>
          <w:color w:val="555555"/>
          <w:sz w:val="18"/>
        </w:rPr>
        <w:t xml:space="preserve">Gesetz zur Neugliederung des Landkreises Altena und der kreisfreien Stadt Lüdenscheid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bei Inkrafttreten dieses Gesetzes amtierende Oberstadtdirektor der Stadt Lüdenscheid führt diese Bezeichnung für die Dauer seiner laufenden Wahlzeit fort.</w:t>
      </w:r>
    </w:p>
    <w:p>
      <w:r>
        <w:t xml:space="preserve">(2) Der Vorsitzende des Rates der Stadt Lüdenscheid führt die Bezeichnung Oberbürgermeister bis zum Ablauf der Wahlzeit fort, in der die nach Absatz 1 geltende Regelung endet.</w:t>
      </w:r>
    </w:p>
    <w:p>
      <w:r>
        <w:rPr>
          <w:color w:val="555555"/>
          <w:sz w:val="17"/>
        </w:rPr>
        <w:t xml:space="preserve">Zitiervorschlag: § 14 NW_27175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