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NW_27175 (Nordrhein-Westfalen)</w:t>
      </w:r>
    </w:p>
    <w:p>
      <w:r>
        <w:rPr>
          <w:color w:val="555555"/>
          <w:sz w:val="18"/>
        </w:rPr>
        <w:t xml:space="preserve">Gesetz zur Neugliederung des Landkreises Altena und der kreisfreien Stadt Lüdenscheid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Verpflichtung, Berufsschulen zu errichten und fortzuführen (§ 10 Absatz 2 Satz 1 Schulverwaltungsgesetz) obliegt auch für das Gebiet der Stadt Lüdenscheid ausschließlich dem Landkreis Lüdenscheid.</w:t>
      </w:r>
    </w:p>
    <w:p>
      <w:r>
        <w:t xml:space="preserve">(2) Der Schulverband für die berufsbildenden Schulen Altena-Lüdenscheid für den Landkreis Altena und die kreisfreie Stadt Lüdenscheid wird aufgelöst.</w:t>
      </w:r>
    </w:p>
    <w:p>
      <w:r>
        <w:t xml:space="preserve">Rechtsnachfolger ist der Landkreis Lüdenscheid.</w:t>
      </w:r>
    </w:p>
    <w:p>
      <w:r>
        <w:rPr>
          <w:color w:val="555555"/>
          <w:sz w:val="17"/>
        </w:rPr>
        <w:t xml:space="preserve">Zitiervorschlag: § 12 NW_27175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https://recht.nulegal.eu/gesetze/NW_27175/12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