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Herford wird in den Landkreis Herford eingegliedert.</w:t>
      </w:r>
    </w:p>
    <w:p>
      <w:r>
        <w:t xml:space="preserve">(2) Der Zweckverband Kreis- und Stadtkrankenhaus Herford wird aufgelöst. Rechtsnachfolger ist der Landkreis Herford.</w:t>
      </w:r>
    </w:p>
    <w:p>
      <w:r>
        <w:rPr>
          <w:color w:val="555555"/>
          <w:sz w:val="17"/>
        </w:rPr>
        <w:t xml:space="preserve">Zitiervorschlag: § 9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