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NW_27174 (Nordrhein-Westfalen)</w:t>
      </w:r>
    </w:p>
    <w:p>
      <w:r>
        <w:rPr>
          <w:color w:val="555555"/>
          <w:sz w:val="18"/>
        </w:rPr>
        <w:t xml:space="preserve">Gesetz zur Neugliederung des Landkreises Herford und der kreisfreien Stadt Herford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zum Amt Herford-Hiddenhausen gehörenden Gemeinden Eilshausen, Hiddenhausen, Lippinghausen, Oetinghausen, Schweicheln-Bermbeck und Sundern werden zu einer neuen amtsfreien Gemeinde zusammengeschlossen. Die Gemeinde erhält den Namen Hiddenhausen.</w:t>
      </w:r>
    </w:p>
    <w:p>
      <w:r>
        <w:t xml:space="preserve">(2) In die neue Gemeinde werden eingegliedert</w:t>
      </w:r>
    </w:p>
    <w:p>
      <w:r>
        <w:t xml:space="preserve">1. aus der Gemeinde Bustedt</w:t>
      </w:r>
    </w:p>
    <w:p>
      <w:r>
        <w:t xml:space="preserve">die Flur 4 und die neuen Fluren 5 und 6 der Gemarkung Bustedt,</w:t>
      </w:r>
    </w:p>
    <w:p>
      <w:r>
        <w:t xml:space="preserve">2. aus der Gemeinde Südlengern</w:t>
      </w:r>
    </w:p>
    <w:p>
      <w:r>
        <w:t xml:space="preserve">die neue Flur 14 der Gemarkung Südlengern.</w:t>
      </w:r>
    </w:p>
    <w:p>
      <w:r>
        <w:t xml:space="preserve">(3) Das Amt Herford-Hiddenhausen wird aufgelöst. Rechtsnachfolgerin ist die Gemeinde Hiddenhausen.</w:t>
      </w:r>
    </w:p>
    <w:p>
      <w:r>
        <w:t xml:space="preserve">(4) Der Feuerlöschverband des Amtes Herford-Hiddenhausen wird aufgelöst.</w:t>
      </w:r>
    </w:p>
    <w:p>
      <w:r>
        <w:t xml:space="preserve">(5) Der Zweckverband Schullandheim des Amtes Herford-Hiddenhausen und der Vatertierhaltungsverband für das Amt Herford-Hiddenhausen werden aufgelöst. Rechtsnachfolgerin ist die Gemeinde Hiddenhausen.</w:t>
      </w:r>
    </w:p>
    <w:p>
      <w:r>
        <w:rPr>
          <w:color w:val="555555"/>
          <w:sz w:val="17"/>
        </w:rPr>
        <w:t xml:space="preserve">Zitiervorschlag: § 7 NW_27174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https://recht.nulegal.eu/gesetze/NW_27174/7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