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NW_27174 (Nordrhein-Westfalen)</w:t>
      </w:r>
    </w:p>
    <w:p>
      <w:r>
        <w:rPr>
          <w:color w:val="555555"/>
          <w:sz w:val="18"/>
        </w:rPr>
        <w:t xml:space="preserve">Gesetz zur Neugliederung des Landkreises Herford und der kreisfreien Stadt Herford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Belke-Steinbeck, Besenkamp, Dreyen, Stadt Enger, Herringhausen - mit Ausnahme der in § 10 Abs. 2 genannten Fluren -, Oldinghausen, Pödinghausen, Siele und Westerenger (Amt Enger) werden zu einer neuen amtsfreien Gemeinde zusammengeschlossen. Die Gemeinde erhält den Namen Enger und führt die Bezeichnung ,,Stadt".</w:t>
      </w:r>
    </w:p>
    <w:p>
      <w:r>
        <w:t xml:space="preserve">(2) Das Amt Enger wird aufgelöst. Rechtsnachfolgerin ist die Stadt Enger.</w:t>
      </w:r>
    </w:p>
    <w:p>
      <w:r>
        <w:rPr>
          <w:color w:val="555555"/>
          <w:sz w:val="17"/>
        </w:rPr>
        <w:t xml:space="preserve">Zitiervorschlag: § 6 NW_27174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