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NW_27173 (Nordrhein-Westfalen)</w:t>
      </w:r>
    </w:p>
    <w:p>
      <w:r>
        <w:rPr>
          <w:color w:val="555555"/>
          <w:sz w:val="18"/>
        </w:rPr>
        <w:t xml:space="preserve">Gesetz über die Eingliederung der Gemeinde Marienloh, Landkreis Paderborn, in die Stadt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Gebietsänderungsvertrag zwischen der Stadt Paderborn und der Gemeinde Marienloh vom 20. Februar 1968 wird mit folgenden Maßgaben bestätigt: [Anlage]</w:t>
      </w:r>
    </w:p>
    <w:p>
      <w:r>
        <w:t xml:space="preserve">1. Von der in § 3 des Gebietsänderungsvertrages getroffenen Regelung für die Überleitung des Ortsrechts bleibt § 40 des Ordnungsbehördengesetzes unberührt.</w:t>
      </w:r>
    </w:p>
    <w:p>
      <w:r>
        <w:t xml:space="preserve">2. § 3 Abs. 6 und § 5 Abs. 2 und 3 des Gebietsänderungsvertrages entfallen.</w:t>
      </w:r>
    </w:p>
    <w:p>
      <w:r>
        <w:t xml:space="preserve">3. Die Anlage zum Gebietsänderungsvertrag bezieht sich auf § 6 des Gebietsänderungsvertrages.</w:t>
      </w:r>
    </w:p>
    <w:p>
      <w:r>
        <w:t xml:space="preserve">4. Nr. 1, Nr. 4 Satz 2 und Nr. 10 Abs. 3 der Anlage zum Gebietsänderungsvertrag entfallen.</w:t>
      </w:r>
    </w:p>
    <w:p>
      <w:r>
        <w:rPr>
          <w:color w:val="555555"/>
          <w:sz w:val="17"/>
        </w:rPr>
        <w:t xml:space="preserve">Zitiervorschlag: § 2 NW_27173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