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NW_27172 (Nordrhein-Westfalen)</w:t>
      </w:r>
    </w:p>
    <w:p>
      <w:r>
        <w:rPr>
          <w:color w:val="555555"/>
          <w:sz w:val="18"/>
        </w:rPr>
        <w:t xml:space="preserve">Gesetz über die Eingliederung der Gemeinde Kirchspiel Freckenhorst, Landkreis Warendorf, in die Stadt Freckenhorst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am 27. September 1964 gewählte Rat der Stadt Freckenhorst wird aufgelöst. § 29 Abs. 2 der Gemeindeordnung gilt entsprechend.</w:t>
      </w:r>
    </w:p>
    <w:p>
      <w:r>
        <w:t xml:space="preserve">(2) Die Wahlzeit des nach der Gebietsänderung neu zu wählenden Rates der Stadt Freckenhorst endet mit Ablauf der Wahlzeit der Vertretungen, die bei den nächsten allgemeinen kommunalen Neuwahlen gewählt werden. § 29 Abs. 1 Satz 1 der Gemeindeordnung findet insoweit keine Anwendung.</w:t>
      </w:r>
    </w:p>
    <w:p>
      <w:r>
        <w:rPr>
          <w:color w:val="555555"/>
          <w:sz w:val="17"/>
        </w:rPr>
        <w:t xml:space="preserve">Zitiervorschlag: § 2 NW_27172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