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NW_27169 (Nordrhein-Westfalen)</w:t>
      </w:r>
    </w:p>
    <w:p>
      <w:r>
        <w:rPr>
          <w:color w:val="555555"/>
          <w:sz w:val="18"/>
        </w:rPr>
        <w:t xml:space="preserve">Gesetz zur Neugliederung des Landkreises Lemgo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Wahlzeit der nach der Neugliederung zu wählenden Räte endet mit Ablauf der Wahlzeit der Vertretungen, die bei den nächsten allgemeinen kommunalen Neuwahlen gewählt werden. § 29 Abs. 1 Satz 1 der Gemeindeordnung für das Land Nordrhein-Westfalen vom 28. Oktober 1952 (GS. NW. S. 167) in der Fassung des Gesetzes vom 18. Juli 1967 (GV. NW. S. 130) findet insoweit keine Anwendung.</w:t>
      </w:r>
    </w:p>
    <w:p>
      <w:r>
        <w:rPr>
          <w:color w:val="555555"/>
          <w:sz w:val="17"/>
        </w:rPr>
        <w:t xml:space="preserve">Zitiervorschlag: § 12 NW_27169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