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NW_27166 (Nordrhein-Westfalen)</w:t>
      </w:r>
    </w:p>
    <w:p>
      <w:r>
        <w:rPr>
          <w:color w:val="555555"/>
          <w:sz w:val="18"/>
        </w:rPr>
        <w:t xml:space="preserve">Gesetz zur Neugliederung des Landkreises Unna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Altendorf, Bausenhagen, Frömern, Stadt Fröndenberg, Frohnhausen, Langschede, Neimen, Ostbüren, Stentrop, Strickherdicke und Warmen (Amt Fröndenberg) werden zu einer neuen amtsfreien Gemeinde zusammengeschlossen. Die Gemeinde erhält den Namen Fröndenberg und führt die Bezeichnung ,,Stadt".</w:t>
      </w:r>
    </w:p>
    <w:p>
      <w:r>
        <w:t xml:space="preserve">(2) Das Amt Fröndenberg wird aufgelöst. Rechtsnachfolgerin ist die Stadt Fröndenberg.</w:t>
      </w:r>
    </w:p>
    <w:p>
      <w:r>
        <w:rPr>
          <w:color w:val="555555"/>
          <w:sz w:val="17"/>
        </w:rPr>
        <w:t xml:space="preserve">Zitiervorschlag: § 7 NW_27166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https://recht.nulegal.eu/gesetze/NW_27166/7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