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NW_27166 (Nordrhein-Westfalen)</w:t>
      </w:r>
    </w:p>
    <w:p>
      <w:r>
        <w:rPr>
          <w:color w:val="555555"/>
          <w:sz w:val="18"/>
        </w:rPr>
        <w:t xml:space="preserve">Gesetz zur Neugliederung des Landkreises Unna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Allen, Freiske, Hilbeck, Osterflierich, Osttünnen, Rhynern - ohne die in § 10 Abs. 4 genannten Flurstücke -, Süddinker und Wambeln (Amt Rhynern) werden zu einer neuen amtsfreien Gemeinde zusammengeschlossen. Die Gemeinde erhält den Namen Rhynern.</w:t>
      </w:r>
    </w:p>
    <w:p>
      <w:r>
        <w:t xml:space="preserve">(2) In die neue Gemeinde wird eingegliedert aus der Gemeinde Westtünnen (Amt Rhynern) die Flur 6 der Gemarkung Westtünnen.</w:t>
      </w:r>
    </w:p>
    <w:p>
      <w:r>
        <w:rPr>
          <w:color w:val="555555"/>
          <w:sz w:val="17"/>
        </w:rPr>
        <w:t xml:space="preserve">Zitiervorschlag: § 2 NW_27166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https://recht.nulegal.eu/gesetze/NW_27166/2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