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Pelkum, Rhynern und Uentrop werden dem Amtsgericht Hamm, die Gemeinde Kamen wird dem Amtsgericht Kamen, die Gemeinden Fröndenberg, Holzwickede und Unna werden dem Amtsgericht Unna zugeordnet.</w:t>
      </w:r>
    </w:p>
    <w:p>
      <w:r>
        <w:t xml:space="preserve">(2) Die Gemeinde Bönen wird ab 1. Januar 1969 dem Amtsgericht Unna zugeordnet. Bis zu diesem Zeitpunkt gehören</w:t>
      </w:r>
    </w:p>
    <w:p>
      <w:r>
        <w:t xml:space="preserve">a) die Ortsteile Altenbögge-Bönen, Nordbögge, Osterbönen und Westerbönen zum Bezirk des Amtsgerichts Hamm,</w:t>
      </w:r>
    </w:p>
    <w:p>
      <w:r>
        <w:t xml:space="preserve">b) die Ortsteile Bramey-Lenningsen und Flierich zum Bezirk des Amtsgerichts Unna.</w:t>
      </w:r>
    </w:p>
    <w:p>
      <w:r>
        <w:rPr>
          <w:color w:val="555555"/>
          <w:sz w:val="17"/>
        </w:rPr>
        <w:t xml:space="preserve">Zitiervorschlag: § 14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NW_27166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