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NW_27165 (Nordrhein-Westfalen)</w:t>
      </w:r>
    </w:p>
    <w:p>
      <w:r>
        <w:rPr>
          <w:color w:val="555555"/>
          <w:sz w:val="18"/>
        </w:rPr>
        <w:t xml:space="preserve">Gesetz über die Eingliederung der Gemeinde Kirchspiel Sendenhorst, Landkreis Beckum, in die Stadt Sendenhorst, Landkreis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am 27. September 1964 gewählte Rat der Stadt Sendenhorst wird aufgelöst. § 29 Abs. 2 der Gemeindeordnung gilt entsprechend.</w:t>
      </w:r>
    </w:p>
    <w:p>
      <w:r>
        <w:rPr>
          <w:color w:val="555555"/>
          <w:sz w:val="17"/>
        </w:rPr>
        <w:t xml:space="preserve">Zitiervorschlag: § 2 NW_27165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