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NW_27165 (Nordrhein-Westfalen)</w:t>
      </w:r>
    </w:p>
    <w:p>
      <w:r>
        <w:rPr>
          <w:color w:val="555555"/>
          <w:sz w:val="18"/>
        </w:rPr>
        <w:t xml:space="preserve">Gesetz über die Eingliederung der Gemeinde Kirchspiel Sendenhorst, Landkreis Beckum, in die Stadt Sendenhorst, Landkreis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Kirchspiel Sendenhorst wird in die Stadt Sendenhorst, Landkreis Beckum, eingegliedert.</w:t>
      </w:r>
    </w:p>
    <w:p>
      <w:r>
        <w:t xml:space="preserve">(2) Der Gebietsänderungsvertrag zwischen der Stadt Sendenhorst und der Gemeinde Kirchspiel Sendenhorst vom 13. Juli 1967 wird mit der Maßgabe bestätigt, daß der Wegebauausschuß (§ 2 Buchstabe a des Vertrages) nach Ablauf einer Frist von fünf Jahren nach Inkrafttreten dieses Gesetzes vom Rat der Stadt Sendenhorst mit Zustimmung der Aufsichtsbehörde aufgelöst werden kann. [Anlage]</w:t>
      </w:r>
    </w:p>
    <w:p>
      <w:r>
        <w:rPr>
          <w:color w:val="555555"/>
          <w:sz w:val="17"/>
        </w:rPr>
        <w:t xml:space="preserve">Zitiervorschlag: § 1 NW_27165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