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NW_27142 (Nordrhein-Westfalen) — Inhalt der Verbandssatzung</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Bildung des Zweckverbandes (Freiverband) vereinbaren die Beteiligten die Verbandssatzung. Führen kreisangehörige Gemeinden Verhandlungen mit Körperschaften des öffentlichen Rechts außerhalb des Kreises, um mit ihnen einen Zweckverband zu bilden, so haben sie den Kreis rechtzeitig zu unterrichten.</w:t>
      </w:r>
    </w:p>
    <w:p>
      <w:r>
        <w:t xml:space="preserve">(2) Die Verbandssatzung muß die Verbandsmitglieder, die Aufgaben, den Namen und Sitz des Verbandes, die Form der öffentlichen Bekanntmachungen sowie den Maßstab bestimmen, nach dem die Verbandsmitglieder zur Deckung der entstehenden Aufwendungen beizutragen haben; sie muß ferner die Angelegenheiten regeln, deren Regelung durch die Verbandssatzung das Gesetz ausdrücklich vorschreibt. Darüber hinaus kann die Verbandssatzung Bestimmungen enthalten über</w:t>
      </w:r>
    </w:p>
    <w:p>
      <w:r>
        <w:t xml:space="preserve">1. die Verfassung und Verwaltung,</w:t>
      </w:r>
    </w:p>
    <w:p>
      <w:r>
        <w:t xml:space="preserve">2. die Abwicklung im Falle der Auflösung des Zweckverbandes,</w:t>
      </w:r>
    </w:p>
    <w:p>
      <w:r>
        <w:t xml:space="preserve">3. das Recht zur einseitigen Kündigung der Verbandsmitgliedschaft, wenn zugleich das Verfahren zur Auseinandersetzung geregelt wird,</w:t>
      </w:r>
    </w:p>
    <w:p>
      <w:r>
        <w:t xml:space="preserve">4. sonstige Rechtsverhältnisse des Zweckverbandes,</w:t>
      </w:r>
    </w:p>
    <w:p>
      <w:r>
        <w:t xml:space="preserve">soweit das Gesetz keine Vorschriften enthält oder die Regelung in der Verbandssatzung ausdrücklich zuläßt.</w:t>
      </w:r>
    </w:p>
    <w:p>
      <w:r>
        <w:rPr>
          <w:color w:val="555555"/>
          <w:sz w:val="17"/>
        </w:rPr>
        <w:t xml:space="preserve">Zitiervorschlag: § 9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