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NW_27142 (Nordrhein-Westfalen) — Anwendung der für Gemeinden,Kreise oder Landschaftsverbändegeltenden Bestimmungen</w:t>
      </w:r>
    </w:p>
    <w:p>
      <w:r>
        <w:rPr>
          <w:color w:val="555555"/>
          <w:sz w:val="18"/>
        </w:rPr>
        <w:t xml:space="preserve">Gesetz über kommunale Gemeinschaftsarbeit (GkG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das Gesetz oder die Verbandssatzung besondere Vorschriften treffen, finden auf den Zweckverband die Vorschriften der Gemeindeordnung für das Land Nordrhein-Westfalen in der Fassung der Bekanntmachung vom 14. Juli 1994 (GV. NRW. S. 666) in der jeweils geltenden Fassung sinngemäß Anwendung.</w:t>
      </w:r>
    </w:p>
    <w:p>
      <w:r>
        <w:t xml:space="preserve">(2) Gehören dem Zweckverband als kommunale Körperschaften neben Gemeinden auch Kreise an, so kann die Verbandssatzung bestimmen, daß anstelle der Gemeindeordnung für das Land Nordrhein-Westfalen die Kreisordnung für das Land Nordrhein-Westfalen in der Fassung der Bekanntmachung vom 14. Juli 1994 (GV. NRW. S. 646) in der jeweils geltenden Fassung Anwendung finden soll.</w:t>
      </w:r>
    </w:p>
    <w:p>
      <w:r>
        <w:t xml:space="preserve">(3) Gehören einem Zweckverband als kommunale Körperschaften nur Kreise oder nur Kreise und Landschaftsverbände an, so finden die Vorschriften der Kreisordnung für das Land Nordrhein-Westfalen, gehören ihm als kommunale Körperschaften nur Landschaftsverbände an, so finden die Vorschriften der Landschaftsverbandsordnung für das Land Nordrhein-Westfalen in der Fassung der Bekanntmachung vom 14. Juli 1994 (GV. NRW. S. 657) in der jeweils geltenden Fassung sinngemäß Anwendung.</w:t>
      </w:r>
    </w:p>
    <w:p>
      <w:r>
        <w:t xml:space="preserve">(4) Das Recht, Satzungen zu erlassen, steht dem Zweckverband nach Maßgabe der für Gemeinden geltenden Vorschriften, im Falle der Absätze 2 und 3 nach Maßgabe der dort genannten Vorschriften für sein Aufgabengebiet zu.</w:t>
      </w:r>
    </w:p>
    <w:p>
      <w:r>
        <w:t xml:space="preserve">Abschnitt II</w:t>
      </w:r>
    </w:p>
    <w:p>
      <w:r>
        <w:t xml:space="preserve">Bildung des Zweckverbandes</w:t>
      </w:r>
    </w:p>
    <w:p>
      <w:r>
        <w:rPr>
          <w:color w:val="555555"/>
          <w:sz w:val="17"/>
        </w:rPr>
        <w:t xml:space="preserve">Zitiervorschlag: § 8 NW_27142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https://recht.nulegal.eu/gesetze/NW_27142/8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