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NW_27142 (Nordrhein-Westfalen) — Übergang der Aufgaben</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Zweckverband kann bestimmte Aufgaben der Beteiligten für diese erfüllen oder für diese durchführen. Er kann daneben auch Aufgaben für einzelne Verbandsmitglieder erfüllen oder durchführen. Soweit Aufgaben zur Erfüllung wahrgenommen werden, gehen das Recht und die Pflicht zur Erfüllung dieser Aufgaben auf den Zweckverband über.</w:t>
      </w:r>
    </w:p>
    <w:p>
      <w:r>
        <w:t xml:space="preserve">(2) Bestehende Beteiligungen der Gemeinden und Gemeindeverbände an Unternehmen und Verbände, die der gleichen oder einer ähnlichen Aufgabe dienen wie der Zweckverband, bleiben unberührt. Hat der Zweckverband nach der Verbandssatzung anzustreben, solche Beteiligungen an Stelle seiner Verbandsmitglieder zu übernehmen, so sind die einzelnen Verbandsmitglieder zu den entsprechenden Rechtsgeschäften und Verwaltungsmaßnahmen verpflichtet.</w:t>
      </w:r>
    </w:p>
    <w:p>
      <w:r>
        <w:rPr>
          <w:color w:val="555555"/>
          <w:sz w:val="17"/>
        </w:rPr>
        <w:t xml:space="preserve">Zitiervorschlag: § 6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