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NW_27142 (Nordrhein-Westfalen) — Weitere Vorschriften für das gemeinsame Kommunalunternehmen</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Unternehmenssatzung des gemeinsamen Kommunalunternehmens muss auch Angaben enthalten über</w:t>
      </w:r>
    </w:p>
    <w:p>
      <w:r>
        <w:t xml:space="preserve">1. die beteiligten kommunalen Träger des Unternehmens,</w:t>
      </w:r>
    </w:p>
    <w:p>
      <w:r>
        <w:t xml:space="preserve">2. den Sitz des Unternehmens,</w:t>
      </w:r>
    </w:p>
    <w:p>
      <w:r>
        <w:t xml:space="preserve">3. den Betrag der von jedem beteiligten kommunalen Träger des Unternehmens auf das Stammkapital zu leistenden Einlage (Stammeinlage),</w:t>
      </w:r>
    </w:p>
    <w:p>
      <w:r>
        <w:t xml:space="preserve">4. den räumlichen Wirkungsbereich, wenn dem Unternehmen hoheitliche Befugnisse oder das Recht, entsprechend § 114 a Abs. 3 der Gemeindeordnung für das Land Nordrhein-Westfalen Satzungen zu erlassen, übertragen werden,</w:t>
      </w:r>
    </w:p>
    <w:p>
      <w:r>
        <w:t xml:space="preserve">5. die Sitz- und Stimmenverteilung im Verwaltungsrat auf die Träger des gemeinsamen Kommunalunternehmens und die Bestimmung des vorsitzenden Mitglieds des Verwaltungsrats,</w:t>
      </w:r>
    </w:p>
    <w:p>
      <w:r>
        <w:t xml:space="preserve">6. die Verteilung des Unternehmensvermögens und des Personals im Fall der Auflösung und des Austritts eines Trägers.</w:t>
      </w:r>
    </w:p>
    <w:p>
      <w:r>
        <w:t xml:space="preserve">§ 17 Abs. 2 Satz 3 gilt für die Satzung des gemeinsamen Kommunalunternehmens entsprechend. Sollen Sacheinlagen geleistet werden, müssen der Gegenstand der Sacheinlage und der Betrag der Stammeinlage, auf die sich die Sacheinlage bezieht, in der Unternehmenssatzung festgesetzt werden. Erlässt das Unternehmen eine Satzung, so hat es diese für das Gebiet jedes Trägers des Unternehmens nach den Vorschriften bekannt zu machen, die für die Bekanntmachung eigener Satzungen des Trägers gelten.</w:t>
      </w:r>
    </w:p>
    <w:p>
      <w:r>
        <w:t xml:space="preserve">(2) Dem Verwaltungsrat des gemeinsamen Kommunalunternehmens gehören die Hauptverwaltungsbeamtinnen und Hauptverwaltungsbeamten ihrer Träger an; sofern Beigeordnete bestellt sind, zu deren Geschäftsbereichen die dem Unternehmen übertragenen Aufgaben gehören, vertreten diese anstelle der Hauptverwaltungsbeamtinnen und Hauptverwaltungsbeamten ihren Träger im Verwaltungsrat. § 114 a Abs. 8 Satz 3 der Gemeindeordnung für das Land Nordrhein-Westfalen gilt entsprechend. Von jedem Träger ist mindestens eine weitere Person in den Verwaltungsrat zu entsenden; für sie gelten § 114 a Abs. 8 Sätze 5 bis 8 der Gemeindeordnung für das Land Nordrhein-Westfalen entsprechend.</w:t>
      </w:r>
    </w:p>
    <w:p>
      <w:r>
        <w:t xml:space="preserve">(3) Soweit die Träger für die Verbindlichkeiten des gemeinsamen Kommunalunternehmens einzutreten haben, haften sie als Gesamtschuldner. Der Ausgleich im Innenverhältnis richtet sich vorbehaltlich einer abweichenden Regelung in der Unternehmenssatzung nach dem Verhältnis der von jedem Träger des Unternehmens auf das Stammkapital zu leistenden Einlage.</w:t>
      </w:r>
    </w:p>
    <w:p>
      <w:r>
        <w:t xml:space="preserve">(4) Entscheidungen des Verwaltungsrats über die Beteiligung an anderen Unternehmen und die Erhöhung des Stammkapitals bedürfen der Zustimmung der Vertretungen aller Träger. Hinsichtlich des Erlasses von Satzungen unterliegen die Verwaltungsratsmitglieder der Weisung der Vertretung des jeweiligen Trägers. § 27 Absatz 4 Satz 2 gilt entsprechend.</w:t>
      </w:r>
    </w:p>
    <w:p>
      <w:r>
        <w:t xml:space="preserve">(5) Das für Kommunales zuständige Ministerium wird ermächtigt,</w:t>
      </w:r>
    </w:p>
    <w:p>
      <w:r>
        <w:t xml:space="preserve">1. das Verfahren bei der Errichtung eines gemeinsamen Kommunalunternehmens sowie in den weiteren in § 27 Abs. 2 und 3 genannten Fällen,</w:t>
      </w:r>
    </w:p>
    <w:p>
      <w:r>
        <w:t xml:space="preserve">2. den Aufbau und die Verwaltung des gemeinsamen Kommunalunternehmens durch Rechtsverordnung zu regeln.</w:t>
      </w:r>
    </w:p>
    <w:p>
      <w:r>
        <w:t xml:space="preserve">SECHSTER TEIL</w:t>
      </w:r>
    </w:p>
    <w:p>
      <w:r>
        <w:t xml:space="preserve">Aufsicht und Entscheidung über Streitigkeiten</w:t>
      </w:r>
    </w:p>
    <w:p>
      <w:r>
        <w:rPr>
          <w:color w:val="555555"/>
          <w:sz w:val="17"/>
        </w:rPr>
        <w:t xml:space="preserve">Zitiervorschlag: § 28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