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NW_27142 (Nordrhein-Westfalen) — Entstehung und Auflösung des gemeinsamen Kommunalunternehmens</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Mehrere Gemeinden und Kreise, die Landschaftsverbände und der Regionalverband Ruhr können zur gemeinsamen Aufgabenwahrnehmung Unternehmen und Einrichtungen in der Rechtsform einer Anstalt des öffentlichen Rechts in gemeinsamer Trägerschaft führen (gemeinsames Kommunalunternehmen).</w:t>
      </w:r>
    </w:p>
    <w:p>
      <w:r>
        <w:t xml:space="preserve">Soweit nachstehend nichts Abweichendes geregelt ist, gelten für das gemeinsame Kommunalunternehmen die Regelungen des § 114 a der Gemeindeordnung für das Land Nordrhein-Westfalen sowie die Verordnung über kommunale Unternehmen und Einrichtungen als Anstalten des öffentlichen Rechts (Kommunalunternehmensverordnung - KUV).</w:t>
      </w:r>
    </w:p>
    <w:p>
      <w:r>
        <w:t xml:space="preserve">(2) Zur Errichtung regeln die nach Absatz 1 Satz 1 Beteiligten die Rechtsverhältnisse des gemeinsamen Kommunalunternehmens in einer Unternehmenssatzung.</w:t>
      </w:r>
    </w:p>
    <w:p>
      <w:r>
        <w:t xml:space="preserve">Die Gemeinden und Kreise, die Landschaftsverbände und der Regionalverband Ruhr können auch einem bestehenden Kommunalunternehmen (Anstalt des öffentlichen Rechts gemäß § 114 a der Gemeindeordnung für das Land Nordrhein-Westfalen) oder einem bestehenden gemeinsamen Kommunalunternehmen beitreten; der Beitritt erfolgt durch die zwischen den Beteiligten zu vereinbarende Änderung der Unternehmenssatzung.</w:t>
      </w:r>
    </w:p>
    <w:p>
      <w:r>
        <w:t xml:space="preserve">Die Beteiligten können bestehende Regie- und Eigenbetriebe sowie eigenbetriebsähnliche Einrichtungen auf das gemeinsame Kommunalunternehmen im Weg der Gesamtrechtsnachfolge ausgliedern.</w:t>
      </w:r>
    </w:p>
    <w:p>
      <w:r>
        <w:t xml:space="preserve">Die auszugliedernden Bereiche sind in der Unternehmenssatzung zu bezeichnen.</w:t>
      </w:r>
    </w:p>
    <w:p>
      <w:r>
        <w:t xml:space="preserve">(3) Ein Kommunalunternehmen kann mit einem anderen durch Vereinbarung einer entsprechenden Änderung der Unternehmenssatzung des aufnehmenden Unternehmens im Weg der Gesamtrechtsnachfolge zu einem gemeinsamen Kommunalunternehmen verschmolzen werden.</w:t>
      </w:r>
    </w:p>
    <w:p>
      <w:r>
        <w:t xml:space="preserve">(4) Die in den vorgenannten Absätzen genannten Entscheidungen bedürfen übereinstimmender Beschlüsse der Vertretungen der Träger. Im Fall der Beteiligung eines Landschaftsverbandes bedarf es eines Beschlusses des Landschaftsausschusses. Die Beschlüsse sind von der zuständigen Aufsichtsbehörde zu genehmigen. Die Genehmigung gilt als erteilt, wenn die Aufsichtsbehörde den Beteiligten nicht innerhalb von sechs Wochen nach Eingang des Genehmigungsantrags mitteilt, dass sie die Genehmigung versagen oder nur nach Änderung der Unternehmenssatzung erteilen will. Die Aufsichtsbehörde kann im Einzelfall aus besonderem Grund die Frist verlängern. § 115 Abs. 1 Satz 2 der Gemeindeordnung für das Land Nordrhein-Westfalen gilt entsprechend.</w:t>
      </w:r>
    </w:p>
    <w:p>
      <w:r>
        <w:t xml:space="preserve">(5) Die Aufsichtsbehörde hat die Genehmigung und die Unternehmenssatzung oder ihre Änderung in ihrem amtlichen Veröffentlichungsblatt bekannt zu machen. Die beteiligten Gemeinden und Kreise, im Falle ihrer Beteiligung auch die Landschaftsverbände und der Regionalverband Ruhr, haben in der für ihre Bekanntmachungen vorgeschriebenen Form auf die Veröffentlichung hinzuweisen. Die Errichtung, der Beitritt oder die Verschmelzung werden am Tag nach der Bekanntmachung der Unternehmenssatzung oder ihrer Änderung wirksam, wenn nicht in der Unternehmenssatzung ein späterer Zeitpunkt bestimmt ist.</w:t>
      </w:r>
    </w:p>
    <w:p>
      <w:r>
        <w:t xml:space="preserve">(6) Änderungen der Unternehmenssatzung und die Auflösung des gemeinsamen Kommunalunternehmens können nur durch übereinstimmende Beschlüsse der Vertretungen der Träger erfolgen; Absatz 4 Satz 2 gilt entsprechend. Abweichend von Satz 1 kann die Unternehmenssatzung bestimmen, dass der Austritt eines Trägers lediglich eines Beschlusses der Vertretung des austretenden Trägers bedarf; Absatz 4 Satz 2 gilt entsprechend. Für Änderungen der Unternehmenssatzung, die Auflösung des gemeinsamen Kommunalunternehmens sowie den Austritt eines Trägers gelten Absatz 4 Satz 3 bis 6 entsprechend. Die Abwicklung des gemeinsamen Kommunalunternehmens besorgen die Vorstandsmitglieder als Abwickler.</w:t>
      </w:r>
    </w:p>
    <w:p>
      <w:r>
        <w:rPr>
          <w:color w:val="555555"/>
          <w:sz w:val="17"/>
        </w:rPr>
        <w:t xml:space="preserve">Zitiervorschlag: § 27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