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NW_27142 (Nordrhein-Westfalen) — Satzung zur Erfüllung der gemeinsamenAufgaben</w:t>
      </w:r>
    </w:p>
    <w:p>
      <w:r>
        <w:rPr>
          <w:color w:val="555555"/>
          <w:sz w:val="18"/>
        </w:rPr>
        <w:t xml:space="preserve">Gesetz über kommunale Gemeinschaftsarbeit (GkG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Durch die Vereinbarung kann die zur Erfüllung gemeinsamer Aufgaben verpflichtete Körperschaft ermächtigt werden, die Benutzung einer Einrichtung durch eine für das gesamte Gebiet geltende Satzung zu regeln.</w:t>
      </w:r>
    </w:p>
    <w:p>
      <w:r>
        <w:t xml:space="preserve">(2) Die Körperschaft kann im Geltungsbereich der Satzung alle zur Erfüllung erforderlichen Maßnahmen wie im eigenen Gebiet treffen. Das Recht zur Erhebung von Steuern ist hiervon ausgenommen.</w:t>
      </w:r>
    </w:p>
    <w:p>
      <w:r>
        <w:rPr>
          <w:color w:val="555555"/>
          <w:sz w:val="17"/>
        </w:rPr>
        <w:t xml:space="preserve">Zitiervorschlag: § 25 NW_27142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https://recht.nulegal.eu/gesetze/NW_27142/25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