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NW_27142 (Nordrhein-Westfalen) — Zweck</w:t>
      </w:r>
    </w:p>
    <w:p>
      <w:r>
        <w:rPr>
          <w:color w:val="555555"/>
          <w:sz w:val="18"/>
        </w:rPr>
        <w:t xml:space="preserve">Gesetz über kommunale Gemeinschaftsarbeit (GkG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Gemeinden und Gemeindeverbände können sich zu kommunalen Arbeitsgemeinschaften zusammenschließen. In diese Arbeitsgemeinschaften können auch sonstige Körperschaften, Anstalten und Stiftungen des öffentlichen Rechts sowie natürliche Personen und juristische Personen des Privatrechts aufgenommen werden.</w:t>
      </w:r>
    </w:p>
    <w:p>
      <w:r>
        <w:t xml:space="preserve">(2) Nach der getroffenen Vereinbarung beraten die Arbeitsgemeinschaften Angelegenheiten, die ihre Mitglieder gemeinsam berühren; sie stimmen Planungen der einzelnen Mitglieder für diese Angelegenheiten und die Tätigkeit von Einrichtungen ihrer Mitglieder aufeinander ab; sie leiten Gemeinschaftslösungen ein, um eine möglichst wirtschaftliche und zweckmäßige Wahrnehmung der Aufgaben in einem größeren nachbarlichen Gebiet sicherzustellen.</w:t>
      </w:r>
    </w:p>
    <w:p>
      <w:r>
        <w:rPr>
          <w:color w:val="555555"/>
          <w:sz w:val="17"/>
        </w:rPr>
        <w:t xml:space="preserve">Zitiervorschlag: § 2 NW_27142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https://recht.nulegal.eu/gesetze/NW_27142/2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