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19a NW_27142 (Nordrhein-Westfalen) — Ausgleichsrücklage</w:t>
      </w:r>
    </w:p>
    <w:p>
      <w:r>
        <w:rPr>
          <w:color w:val="555555"/>
          <w:sz w:val="18"/>
        </w:rPr>
        <w:t xml:space="preserve">Gesetz über kommunale Gemeinschaftsarbeit (GkG NRW),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§ 75 Absatz 3 der Gemeindeordnung für das Land Nordrhein-Westfalen gilt entsprechend.</w:t>
      </w:r>
    </w:p>
    <w:p>
      <w:r>
        <w:t xml:space="preserve">Abschnitt IV</w:t>
      </w:r>
    </w:p>
    <w:p>
      <w:r>
        <w:t xml:space="preserve">Änderung der Verbandssatzung und Auflösung des Zweckverbandes</w:t>
      </w:r>
    </w:p>
    <w:p>
      <w:r>
        <w:rPr>
          <w:color w:val="555555"/>
          <w:sz w:val="17"/>
        </w:rPr>
        <w:t xml:space="preserve">Zitiervorschlag: § 19a NW_27142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https://recht.nulegal.eu/gesetze/NW_27142/19a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