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NW_27142 (Nordrhein-Westfalen) — Verbandsumlage</w:t>
      </w:r>
    </w:p>
    <w:p>
      <w:r>
        <w:rPr>
          <w:color w:val="555555"/>
          <w:sz w:val="18"/>
        </w:rPr>
        <w:t xml:space="preserve">Gesetz über kommunale Gemeinschaftsarbeit (GkG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Zweckverband erhebt von den Verbandsmitgliedern eine Umlage, soweit seine sonstigen Erträge die entstehenden Aufwendungen nicht decken. Aus vorangegangenen Jahresabschlüssen vorgetragene Jahresfehlbeträge können bei der Berechnung der Verbandsumlage nach Satz 1 vollständig oder teilweise berücksichtigt werden, soweit sie in dem Jahr zu verrechnen sind oder verrechnet werden sollen. Die Umlagepflicht einzelner Verbandsmitglieder kann durch die Verbandssatzung auf einen Höchstbetrag beschränkt oder ausgeschlossen werden; dies gilt nicht bei Sparkassenzweckverbänden. Die Umlage soll in der Regel nach dem Verhältnis des Nutzens bemessen werden, den die einzelnen Verbandsmitglieder aus der Wahrnehmung der Aufgaben des Zweckverbandes haben. Ein anderer Maßstab kann zugrunde gelegt werden, wenn dies angemessen ist. Soweit die Umlage nach der Steuerkraft bemessen wird, gelten die Vorschriften über die Kreisumlage, bei Zweckverbänden, denen als kommunale Körperschaften nur Landschaftsverbände angehören, die Vorschriften über die Landschaftsverbandsumlage entsprechend.</w:t>
      </w:r>
    </w:p>
    <w:p>
      <w:r>
        <w:t xml:space="preserve">(2) Die Umlage ist für jedes Haushaltsjahr in der Haushaltssatzung neu festzusetzen. Die Festsetzung der Umlage bedarf der Genehmigung der Aufsichtsbehörde.</w:t>
      </w:r>
    </w:p>
    <w:p>
      <w:r>
        <w:t xml:space="preserve">(3) Der Zweckverband kann Gebühren und Beiträge in entsprechender Anwendung der Vorschriften des Kommunalabgabenrechts erheben. Das Recht zur Erhebung von Steuern steht ihm nicht zu.</w:t>
      </w:r>
    </w:p>
    <w:p>
      <w:r>
        <w:rPr>
          <w:color w:val="555555"/>
          <w:sz w:val="17"/>
        </w:rPr>
        <w:t xml:space="preserve">Zitiervorschlag: § 19 NW_27142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https://recht.nulegal.eu/gesetze/NW_27142/19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