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NW_27142 (Nordrhein-Westfalen) — Pflichtverband</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Bildung eines Zweckverbandes zur Wahrnehmung von Pflichtaufgaben, die den Gemeinden oder Gemeindeverbänden durch gesetzliche Vorschrift auferlegt sind, aus Gründen des öffentlichen Wohles dringend geboten, so kann die Aufsichtsbehörde den Beteiligten eine angemessene Frist zur Bildung des Zweckverbandes als Freiverband setzen.</w:t>
      </w:r>
    </w:p>
    <w:p>
      <w:r>
        <w:t xml:space="preserve">(2) Kommt innerhalb der Frist ein Freiverband nicht zustande, so kann die Aufsichtsbehörde die Verbandssatzung erlassen und die Bildung des Zweckverbandes als Pflichtverband verfügen. Sollen kreisangehörige Gemeinden oder Gemeindeverbände mit Gemeinden oder Gemeindeverbänden außerhalb des Kreises zu einem Zweckverband zusammengeschlossen werden, um gemeinsame Bauleitpläne aufzustellen oder durchzuführen, so gilt § 205 des Baugesetzbuches in der Fassung der Bekanntmachung vom 23. September 2004 (BGBl. I S. 2414) in der jeweils geltenden Fassung. Vor der Entscheidung muß den Beteiligten Gelegenheit gegeben werden, ihre Auffassung in mündlicher Verhandlung darzulegen.</w:t>
      </w:r>
    </w:p>
    <w:p>
      <w:r>
        <w:t xml:space="preserve">(3) Ist die Bezirksregierung zuständig, so ist in den Fällen, in denen eine kreisangehörige Gemeinde beteiligt ist, der Kreisausschuss vor der Entscheidung zu hören. Im übrigen gilt § 11 entsprechend.</w:t>
      </w:r>
    </w:p>
    <w:p>
      <w:r>
        <w:t xml:space="preserve">(4) Hält die Aufsichtsbehörde einen Ausgleich aus Billigkeitsgründen für erforderlich, so kann sie diesen selbst treffen, falls die Beteiligten dies beantragen oder sich nicht innerhalb einer von der Aufsichtsbehörde gesetzten angemessenen Frist einigen.</w:t>
      </w:r>
    </w:p>
    <w:p>
      <w:r>
        <w:t xml:space="preserve">Abschnitt III</w:t>
      </w:r>
    </w:p>
    <w:p>
      <w:r>
        <w:t xml:space="preserve">Verfassung und Verwaltung des Zweckverbandes</w:t>
      </w:r>
    </w:p>
    <w:p>
      <w:r>
        <w:rPr>
          <w:color w:val="555555"/>
          <w:sz w:val="17"/>
        </w:rPr>
        <w:t xml:space="preserve">Zitiervorschlag: § 13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