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NW_27142 (Nordrhein-Westfalen) — Entstehung des Zweckverbandes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Aufsichtsbehörde hat die Verbandssatzung und ihre Genehmigung in ihrem amtlichen Veröffentlichungsblatt bekanntzumachen. Die Gemeinden und Kreise haben in der für ihre Bekanntmachungen vorgeschriebenen Form auf die Veröffentlichung hinzuweisen.</w:t>
      </w:r>
    </w:p>
    <w:p>
      <w:r>
        <w:t xml:space="preserve">(2) Der Zweckverband entsteht am Tage nach der öffentlichen Bekanntmachung der Verbandssatzung und der Genehmigung im Veröffentlichungsblatt der Aufsichtsbehörde, soweit nicht hierfür in der Verbandssatzung ein späterer Zeitpunkt bestimmt ist.</w:t>
      </w:r>
    </w:p>
    <w:p>
      <w:r>
        <w:rPr>
          <w:color w:val="555555"/>
          <w:sz w:val="17"/>
        </w:rPr>
        <w:t xml:space="preserve">Zitiervorschlag: § 11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