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NW_27135 (Nordrhein-Westfalen)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Zweckverbände, öffentlich-rechtliche Vereinbarungen, kommunale Arbeitsgemeinschaften, Wasser- und Bodenverbände und Vereinbarungen auf dem Gebiet des Wasserrechts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Vertrag bedarf der Ratifikation. Die Ratifikationsurkunden werden ausgetauscht. Der Vertrag tritt am Ersten des auf den Austausch der Ratifikationsurkunden folgenden Monats in Kraft.</w:t>
      </w:r>
    </w:p>
    <w:p>
      <w:r>
        <w:t xml:space="preserve">Wiesbaden, den 15. Februar 1974</w:t>
      </w:r>
    </w:p>
    <w:p>
      <w:r>
        <w:t xml:space="preserve">Für das Land Hessen</w:t>
      </w:r>
    </w:p>
    <w:p>
      <w:r>
        <w:t xml:space="preserve">Der Minister des Innern</w:t>
      </w:r>
    </w:p>
    <w:p>
      <w:r>
        <w:t xml:space="preserve">Bielefeld</w:t>
      </w:r>
    </w:p>
    <w:p>
      <w:r>
        <w:t xml:space="preserve">Düsseldorf, den 21. Januar 1974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t xml:space="preserve">Willi Weyer</w:t>
      </w:r>
    </w:p>
    <w:p>
      <w:r>
        <w:rPr>
          <w:color w:val="555555"/>
          <w:sz w:val="17"/>
        </w:rPr>
        <w:t xml:space="preserve">Zitiervorschlag: Art 9 NW_27135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https://recht.nulegal.eu/gesetze/NW_27135/9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