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NW_27130 (Nordrhein-Westfalen)</w:t>
      </w:r>
    </w:p>
    <w:p>
      <w:r>
        <w:rPr>
          <w:color w:val="555555"/>
          <w:sz w:val="18"/>
        </w:rPr>
        <w:t xml:space="preserve">Bekanntmachung des Staatsvertrages zwischen dem Land Nordrhein-Westfalen und dem Land Rheinland-Pfalz über Zweckverbände, öffentlich-rechtliche Vereinbarungen, kommunale Arbeitsgemeinschaften und Wasser- und Bodenverbände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Vertrag bedarf der Ratifikation. Die Ratifikationsurkunden werden ausgetauscht. Der Vertrag tritt am Ersten des auf den Austausch der Ratifikationsurkunden folgenden Monats in Kraft.</w:t>
      </w:r>
    </w:p>
    <w:p>
      <w:r>
        <w:t xml:space="preserve">Düsseldorf, den 29. November 1971</w:t>
      </w:r>
    </w:p>
    <w:p>
      <w:r>
        <w:t xml:space="preserve">Für das Land Nordrhein-Westfalen</w:t>
      </w:r>
    </w:p>
    <w:p>
      <w:r>
        <w:t xml:space="preserve">Namens des Ministerpräsidenten</w:t>
      </w:r>
    </w:p>
    <w:p>
      <w:r>
        <w:t xml:space="preserve">Der Innenminister</w:t>
      </w:r>
    </w:p>
    <w:p>
      <w:r>
        <w:t xml:space="preserve">Willi Weyer</w:t>
      </w:r>
    </w:p>
    <w:p>
      <w:r>
        <w:t xml:space="preserve">Mainz, den 1. Dezember 1971</w:t>
      </w:r>
    </w:p>
    <w:p>
      <w:r>
        <w:t xml:space="preserve">Für das Land Rheinland-Pfalz</w:t>
      </w:r>
    </w:p>
    <w:p>
      <w:r>
        <w:t xml:space="preserve">Der Innenminister</w:t>
      </w:r>
    </w:p>
    <w:p>
      <w:r>
        <w:t xml:space="preserve">Heinz. Schwarz</w:t>
      </w:r>
    </w:p>
    <w:p>
      <w:r>
        <w:rPr>
          <w:color w:val="555555"/>
          <w:sz w:val="17"/>
        </w:rPr>
        <w:t xml:space="preserve">Zitiervorschlag: Art 8 NW_27130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https://recht.nulegal.eu/gesetze/NW_27130/8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