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NW_27130 (Nordrhein-Westfalen)</w:t>
      </w:r>
    </w:p>
    <w:p>
      <w:r>
        <w:rPr>
          <w:color w:val="555555"/>
          <w:sz w:val="18"/>
        </w:rPr>
        <w:t xml:space="preserve">Bekanntmachung des Staatsvertrages zwischen dem Land Nordrhein-Westfalen und dem Land Rheinland-Pfalz über Zweckverbände, öffentlich-rechtliche Vereinbarungen, kommunale Arbeitsgemeinschaften und Wasser- und Bodenverbände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Zweckverbände nach Artikel 1 gilt das Recht des Landes, in dem der Zweckverband seinen Sitz hat oder erhält.</w:t>
      </w:r>
    </w:p>
    <w:p>
      <w:r>
        <w:t xml:space="preserve">(2) Für öffentlich-rechtliche Vereinbarungen nach Artikel 1 gilt das Recht des Landes, dem die Körperschaft angehört, der durch die Vereinbarung die Erfüllung oder Durchführung der Aufgaben übertragen worden ist oder übertragen werden soll.</w:t>
      </w:r>
    </w:p>
    <w:p>
      <w:r>
        <w:rPr>
          <w:color w:val="555555"/>
          <w:sz w:val="17"/>
        </w:rPr>
        <w:t xml:space="preserve">Zitiervorschlag: Art 2 NW_27130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https://recht.nulegal.eu/gesetze/NW_27130/2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