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8 NW_27127 (Nordrhein-Westfalen)</w:t>
      </w:r>
    </w:p>
    <w:p>
      <w:r>
        <w:rPr>
          <w:color w:val="555555"/>
          <w:sz w:val="18"/>
        </w:rPr>
        <w:t xml:space="preserve">Bekanntmachung des Staatsvertrages zwischen dem Land Niedersachsen und dem Land Nordrhein-Westfalen über Zweckverbände, öffentlich-rechtliche Vereinbarungen, kommunale Arbeitsgemeinschaften und Wasser- und Bodenverbände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Der Vertrag bedarf der Ratifikation. Die Ratifikationsurkunden werden ausgetauscht. Der Vertrag tritt am Ersten des auf den Austausch der Ratifikationsurkunden folgenden Monats in Kraft.</w:t>
      </w:r>
    </w:p>
    <w:p>
      <w:r>
        <w:t xml:space="preserve">Hannover, den 9. Mai 1969</w:t>
      </w:r>
    </w:p>
    <w:p>
      <w:r>
        <w:t xml:space="preserve">Für den Niedersächsischen</w:t>
      </w:r>
    </w:p>
    <w:p>
      <w:r>
        <w:t xml:space="preserve">Ministerpräsidenten</w:t>
      </w:r>
    </w:p>
    <w:p>
      <w:r>
        <w:t xml:space="preserve">Der Niedersächsische Minister</w:t>
      </w:r>
    </w:p>
    <w:p>
      <w:r>
        <w:t xml:space="preserve">des Innern</w:t>
      </w:r>
    </w:p>
    <w:p>
      <w:r>
        <w:t xml:space="preserve">Lehners</w:t>
      </w:r>
    </w:p>
    <w:p>
      <w:r>
        <w:t xml:space="preserve">Düsseldorf, den 23. April 1969</w:t>
      </w:r>
    </w:p>
    <w:p>
      <w:r>
        <w:t xml:space="preserve">Für die Landesregierung</w:t>
      </w:r>
    </w:p>
    <w:p>
      <w:r>
        <w:t xml:space="preserve">des Landes Nordrhein-Westfalen</w:t>
      </w:r>
    </w:p>
    <w:p>
      <w:r>
        <w:t xml:space="preserve">Der Innenminister</w:t>
      </w:r>
    </w:p>
    <w:p>
      <w:r>
        <w:t xml:space="preserve">Weyer</w:t>
      </w:r>
    </w:p>
    <w:p>
      <w:r>
        <w:rPr>
          <w:color w:val="555555"/>
          <w:sz w:val="17"/>
        </w:rPr>
        <w:t xml:space="preserve">Zitiervorschlag: Art 8 NW_27127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https://recht.nulegal.eu/gesetze/NW_27127/8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