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NW_27127 (Nordrhein-Westfalen)</w:t>
      </w:r>
    </w:p>
    <w:p>
      <w:r>
        <w:rPr>
          <w:color w:val="555555"/>
          <w:sz w:val="18"/>
        </w:rPr>
        <w:t xml:space="preserve">Bekanntmachung des Staatsvertrages zwischen dem Land Niedersachsen und dem Land Nordrhein-Westfalen über Zweckverbände, öffentlich-rechtliche Vereinbarungen, kommunale Arbeitsgemeinschaften und Wasser- und Bodenverbände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vertragschließenden Länder können diesen Staatsvertrag mit einer Frist von einem Jahr zum Ende eines Kalenderjahres kündigen. Die Artikel 2 bis 4 gelten jedoch für die vor dem Außerkrafttreten des Staatsvertrages gebildeten Zweckverbände und rechtswirksam abgeschlossenen öffentlich-rechtlichen Vereinbarungen weiter.</w:t>
      </w:r>
    </w:p>
    <w:p>
      <w:r>
        <w:rPr>
          <w:color w:val="555555"/>
          <w:sz w:val="17"/>
        </w:rPr>
        <w:t xml:space="preserve">Zitiervorschlag: Art 7 NW_27127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https://recht.nulegal.eu/gesetze/NW_27127/7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